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66601AE8" w:rsidR="00E81944" w:rsidRPr="00B11386" w:rsidRDefault="0088783F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 w:rsidR="004010B2">
        <w:rPr>
          <w:rFonts w:ascii="Bahnschrift" w:hAnsi="Bahnschrift"/>
          <w:sz w:val="44"/>
        </w:rPr>
        <w:t xml:space="preserve"> Update</w:t>
      </w:r>
      <w:r w:rsidR="002B204C" w:rsidRPr="00BE3E36"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C82A68">
        <w:rPr>
          <w:rFonts w:ascii="Bahnschrift" w:hAnsi="Bahnschrift"/>
          <w:sz w:val="44"/>
        </w:rPr>
        <w:t>India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1059908E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proofErr w:type="spellStart"/>
      <w:r w:rsidR="00955E96">
        <w:rPr>
          <w:rFonts w:ascii="Bahnschrift" w:hAnsi="Bahnschrift"/>
          <w:color w:val="auto"/>
        </w:rPr>
        <w:t>InDiCo</w:t>
      </w:r>
      <w:proofErr w:type="spellEnd"/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 xml:space="preserve">between Europe and </w:t>
      </w:r>
      <w:proofErr w:type="gramStart"/>
      <w:r w:rsidR="0050329B" w:rsidRPr="0050329B">
        <w:rPr>
          <w:rFonts w:ascii="Bahnschrift" w:hAnsi="Bahnschrift"/>
          <w:color w:val="auto"/>
        </w:rPr>
        <w:t>a</w:t>
      </w:r>
      <w:r w:rsidR="005B567D">
        <w:rPr>
          <w:rFonts w:ascii="Bahnschrift" w:hAnsi="Bahnschrift"/>
          <w:color w:val="auto"/>
        </w:rPr>
        <w:t xml:space="preserve"> number of</w:t>
      </w:r>
      <w:proofErr w:type="gramEnd"/>
      <w:r w:rsidR="005B567D">
        <w:rPr>
          <w:rFonts w:ascii="Bahnschrift" w:hAnsi="Bahnschrift"/>
          <w:color w:val="auto"/>
        </w:rPr>
        <w:t xml:space="preserve">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88783F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proofErr w:type="spellStart"/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</w:t>
      </w:r>
      <w:proofErr w:type="spellEnd"/>
      <w:r w:rsidR="006A6C7D">
        <w:rPr>
          <w:rFonts w:ascii="Bahnschrift" w:hAnsi="Bahnschrift"/>
          <w:color w:val="auto"/>
        </w:rPr>
        <w:t>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4140922D" w:rsidR="0050329B" w:rsidRPr="00076158" w:rsidRDefault="00B34451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India</w:t>
      </w:r>
    </w:p>
    <w:p w14:paraId="3D0095CD" w14:textId="27EEDC18" w:rsidR="00076158" w:rsidRPr="00076158" w:rsidRDefault="00B16DD8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European </w:t>
      </w:r>
      <w:proofErr w:type="spellStart"/>
      <w:r>
        <w:rPr>
          <w:rFonts w:ascii="Bahnschrift" w:hAnsi="Bahnschrift"/>
          <w:color w:val="auto"/>
        </w:rPr>
        <w:t>Standardisation</w:t>
      </w:r>
      <w:proofErr w:type="spellEnd"/>
      <w:r>
        <w:rPr>
          <w:rFonts w:ascii="Bahnschrift" w:hAnsi="Bahnschrift"/>
          <w:color w:val="auto"/>
        </w:rPr>
        <w:t xml:space="preserve"> </w:t>
      </w:r>
      <w:proofErr w:type="spellStart"/>
      <w:r>
        <w:rPr>
          <w:rFonts w:ascii="Bahnschrift" w:hAnsi="Bahnschrift"/>
          <w:color w:val="auto"/>
        </w:rPr>
        <w:t>Organisations</w:t>
      </w:r>
      <w:proofErr w:type="spellEnd"/>
      <w:r>
        <w:rPr>
          <w:rFonts w:ascii="Bahnschrift" w:hAnsi="Bahnschrift"/>
          <w:color w:val="auto"/>
        </w:rPr>
        <w:t>, together with the European Commission and EFTA, have been</w:t>
      </w:r>
      <w:r w:rsidR="00EA7890">
        <w:rPr>
          <w:rFonts w:ascii="Bahnschrift" w:hAnsi="Bahnschrift"/>
          <w:color w:val="auto"/>
        </w:rPr>
        <w:t xml:space="preserve"> gathering data about </w:t>
      </w:r>
      <w:r w:rsidR="00BA643D">
        <w:rPr>
          <w:rFonts w:ascii="Bahnschrift" w:hAnsi="Bahnschrift"/>
          <w:color w:val="auto"/>
        </w:rPr>
        <w:t xml:space="preserve">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  <w:r w:rsidR="00EA7890">
        <w:rPr>
          <w:rFonts w:ascii="Bahnschrift" w:hAnsi="Bahnschrift"/>
          <w:color w:val="auto"/>
        </w:rPr>
        <w:t xml:space="preserve">This work has been done through </w:t>
      </w:r>
      <w:hyperlink r:id="rId13" w:history="1">
        <w:r w:rsidR="00EA7890" w:rsidRPr="00EA7890">
          <w:rPr>
            <w:rStyle w:val="Hyperlink"/>
            <w:rFonts w:ascii="Bahnschrift" w:hAnsi="Bahnschrift"/>
          </w:rPr>
          <w:t>project SESEI</w:t>
        </w:r>
      </w:hyperlink>
      <w:r w:rsidR="00EA7890">
        <w:rPr>
          <w:rFonts w:ascii="Bahnschrift" w:hAnsi="Bahnschrift"/>
          <w:color w:val="auto"/>
        </w:rPr>
        <w:t xml:space="preserve"> mainly</w:t>
      </w:r>
      <w:r w:rsidR="00422F6B">
        <w:rPr>
          <w:rFonts w:ascii="Bahnschrift" w:hAnsi="Bahnschrift"/>
          <w:color w:val="auto"/>
        </w:rPr>
        <w:t xml:space="preserve"> as well as through the former </w:t>
      </w:r>
      <w:proofErr w:type="spellStart"/>
      <w:r w:rsidR="00422F6B">
        <w:rPr>
          <w:rFonts w:ascii="Bahnschrift" w:hAnsi="Bahnschrift"/>
          <w:color w:val="auto"/>
        </w:rPr>
        <w:t>InDiCo</w:t>
      </w:r>
      <w:proofErr w:type="spellEnd"/>
      <w:r w:rsidR="00422F6B">
        <w:rPr>
          <w:rFonts w:ascii="Bahnschrift" w:hAnsi="Bahnschrift"/>
          <w:color w:val="auto"/>
        </w:rPr>
        <w:t xml:space="preserve"> project.</w:t>
      </w:r>
    </w:p>
    <w:p w14:paraId="1DE6D496" w14:textId="34DD4C76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This </w:t>
      </w:r>
      <w:r w:rsidR="00422F6B">
        <w:rPr>
          <w:rFonts w:ascii="Bahnschrift" w:hAnsi="Bahnschrift"/>
          <w:color w:val="auto"/>
        </w:rPr>
        <w:t xml:space="preserve">data </w:t>
      </w:r>
      <w:r>
        <w:rPr>
          <w:rFonts w:ascii="Bahnschrift" w:hAnsi="Bahnschrift"/>
          <w:color w:val="auto"/>
        </w:rPr>
        <w:t>needs to be updated</w:t>
      </w:r>
      <w:r w:rsidR="00422F6B">
        <w:rPr>
          <w:rFonts w:ascii="Bahnschrift" w:hAnsi="Bahnschrift"/>
          <w:color w:val="auto"/>
        </w:rPr>
        <w:t xml:space="preserve"> and aggregated</w:t>
      </w:r>
      <w:r>
        <w:rPr>
          <w:rFonts w:ascii="Bahnschrift" w:hAnsi="Bahnschrift"/>
          <w:color w:val="auto"/>
        </w:rPr>
        <w:t xml:space="preserve">, and </w:t>
      </w:r>
      <w:proofErr w:type="spellStart"/>
      <w:r>
        <w:rPr>
          <w:rFonts w:ascii="Bahnschrift" w:hAnsi="Bahnschrift"/>
          <w:color w:val="auto"/>
        </w:rPr>
        <w:t>InDiCo</w:t>
      </w:r>
      <w:proofErr w:type="spellEnd"/>
      <w:r>
        <w:rPr>
          <w:rFonts w:ascii="Bahnschrift" w:hAnsi="Bahnschrift"/>
          <w:color w:val="auto"/>
        </w:rPr>
        <w:t>-Global is requesting a local or locally-connected researcher to perform this update.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Research objectives</w:t>
      </w:r>
    </w:p>
    <w:p w14:paraId="3BB56939" w14:textId="1C470ABF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lastRenderedPageBreak/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C82A68">
        <w:rPr>
          <w:rFonts w:ascii="Bahnschrift" w:hAnsi="Bahnschrift"/>
          <w:color w:val="auto"/>
        </w:rPr>
        <w:t>India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proofErr w:type="spellStart"/>
      <w:r w:rsidR="008426EF">
        <w:rPr>
          <w:rFonts w:ascii="Bahnschrift" w:hAnsi="Bahnschrift"/>
          <w:color w:val="auto"/>
        </w:rPr>
        <w:t>InDiCo</w:t>
      </w:r>
      <w:proofErr w:type="spellEnd"/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1EFB3FEF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EE3A24">
        <w:rPr>
          <w:rFonts w:ascii="Bahnschrift" w:hAnsi="Bahnschrift"/>
          <w:sz w:val="28"/>
        </w:rPr>
        <w:t>India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494BC4CD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62DAC9C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>5G</w:t>
      </w:r>
      <w:r w:rsidR="004010B2">
        <w:rPr>
          <w:rFonts w:ascii="Bahnschrift" w:hAnsi="Bahnschrift"/>
          <w:color w:val="auto"/>
        </w:rPr>
        <w:t>/6G</w:t>
      </w:r>
      <w:r>
        <w:rPr>
          <w:rFonts w:ascii="Bahnschrift" w:hAnsi="Bahnschrift"/>
          <w:color w:val="auto"/>
        </w:rPr>
        <w:t xml:space="preserve">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2" w:name="_Hlk21881574"/>
      <w:r>
        <w:rPr>
          <w:rFonts w:ascii="Bahnschrift" w:hAnsi="Bahnschrift"/>
        </w:rPr>
        <w:lastRenderedPageBreak/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list of contacts to call upon </w:t>
      </w:r>
      <w:proofErr w:type="gramStart"/>
      <w:r>
        <w:rPr>
          <w:rFonts w:ascii="Bahnschrift" w:hAnsi="Bahnschrift"/>
        </w:rPr>
        <w:t>in the course of</w:t>
      </w:r>
      <w:proofErr w:type="gramEnd"/>
      <w:r>
        <w:rPr>
          <w:rFonts w:ascii="Bahnschrift" w:hAnsi="Bahnschrift"/>
        </w:rPr>
        <w:t xml:space="preserve">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2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</w:t>
      </w:r>
      <w:proofErr w:type="spellStart"/>
      <w:r w:rsidR="00A17D93">
        <w:rPr>
          <w:rFonts w:ascii="Bahnschrift" w:hAnsi="Bahnschrift"/>
          <w:color w:val="auto"/>
        </w:rPr>
        <w:t>InDiCo</w:t>
      </w:r>
      <w:proofErr w:type="spellEnd"/>
      <w:r w:rsidR="00A17D93">
        <w:rPr>
          <w:rFonts w:ascii="Bahnschrift" w:hAnsi="Bahnschrift"/>
          <w:color w:val="auto"/>
        </w:rPr>
        <w:t xml:space="preserve">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3" w:name="_Hlk21881423"/>
      <w:r>
        <w:rPr>
          <w:rFonts w:ascii="Bahnschrift" w:hAnsi="Bahnschrift"/>
          <w:color w:val="auto"/>
        </w:rPr>
        <w:t xml:space="preserve">Regular calls will be scheduled with the </w:t>
      </w:r>
      <w:proofErr w:type="spellStart"/>
      <w:r>
        <w:rPr>
          <w:rFonts w:ascii="Bahnschrift" w:hAnsi="Bahnschrift"/>
          <w:color w:val="auto"/>
        </w:rPr>
        <w:t>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proofErr w:type="spellEnd"/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3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 xml:space="preserve">the </w:t>
      </w:r>
      <w:proofErr w:type="spellStart"/>
      <w:r w:rsidR="00A17D93">
        <w:rPr>
          <w:rFonts w:ascii="Bahnschrift" w:hAnsi="Bahnschrift"/>
          <w:color w:val="auto"/>
        </w:rPr>
        <w:t>InDiCo</w:t>
      </w:r>
      <w:proofErr w:type="spellEnd"/>
      <w:r w:rsidR="00A17D93">
        <w:rPr>
          <w:rFonts w:ascii="Bahnschrift" w:hAnsi="Bahnschrift"/>
          <w:color w:val="auto"/>
        </w:rPr>
        <w:t>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27D063C8" w14:textId="23F6B4E9" w:rsidR="00EE3A24" w:rsidRPr="00983475" w:rsidRDefault="00E81944" w:rsidP="00EE3A2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EE3A24">
        <w:rPr>
          <w:rFonts w:ascii="Bahnschrift" w:hAnsi="Bahnschrift"/>
          <w:color w:val="auto"/>
        </w:rPr>
        <w:t xml:space="preserve">A maximum of €15 000 EUR is available for </w:t>
      </w:r>
      <w:proofErr w:type="gramStart"/>
      <w:r w:rsidR="00EE3A24">
        <w:rPr>
          <w:rFonts w:ascii="Bahnschrift" w:hAnsi="Bahnschrift"/>
          <w:color w:val="auto"/>
        </w:rPr>
        <w:t>all of</w:t>
      </w:r>
      <w:proofErr w:type="gramEnd"/>
      <w:r w:rsidR="00EE3A24">
        <w:rPr>
          <w:rFonts w:ascii="Bahnschrift" w:hAnsi="Bahnschrift"/>
          <w:color w:val="auto"/>
        </w:rPr>
        <w:t xml:space="preserve"> the research and reports.</w:t>
      </w:r>
    </w:p>
    <w:p w14:paraId="1B300CF2" w14:textId="0090ACBA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</w:p>
    <w:sectPr w:rsidR="00E81944" w:rsidRPr="00983475">
      <w:head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72086"/>
    <w:rsid w:val="00172F6C"/>
    <w:rsid w:val="001A687D"/>
    <w:rsid w:val="001C6D84"/>
    <w:rsid w:val="002304A3"/>
    <w:rsid w:val="00230C21"/>
    <w:rsid w:val="00242A05"/>
    <w:rsid w:val="002533F4"/>
    <w:rsid w:val="00283902"/>
    <w:rsid w:val="002B204C"/>
    <w:rsid w:val="00325B48"/>
    <w:rsid w:val="003920C2"/>
    <w:rsid w:val="004010B2"/>
    <w:rsid w:val="00422F6B"/>
    <w:rsid w:val="004B6B5A"/>
    <w:rsid w:val="004E3B74"/>
    <w:rsid w:val="0050329B"/>
    <w:rsid w:val="00507355"/>
    <w:rsid w:val="005618F1"/>
    <w:rsid w:val="0056766B"/>
    <w:rsid w:val="005B567D"/>
    <w:rsid w:val="00600EDE"/>
    <w:rsid w:val="006727C5"/>
    <w:rsid w:val="00676CCB"/>
    <w:rsid w:val="006A6C7D"/>
    <w:rsid w:val="006B6387"/>
    <w:rsid w:val="006F50FD"/>
    <w:rsid w:val="00746A16"/>
    <w:rsid w:val="0078197F"/>
    <w:rsid w:val="007B21E4"/>
    <w:rsid w:val="00815C31"/>
    <w:rsid w:val="008426EF"/>
    <w:rsid w:val="0088783F"/>
    <w:rsid w:val="008E0A76"/>
    <w:rsid w:val="00907556"/>
    <w:rsid w:val="00944AA5"/>
    <w:rsid w:val="00955E96"/>
    <w:rsid w:val="00983475"/>
    <w:rsid w:val="009C62C5"/>
    <w:rsid w:val="009D3C17"/>
    <w:rsid w:val="00A17D93"/>
    <w:rsid w:val="00A64801"/>
    <w:rsid w:val="00AA250B"/>
    <w:rsid w:val="00AC126F"/>
    <w:rsid w:val="00AF4C88"/>
    <w:rsid w:val="00B01C5B"/>
    <w:rsid w:val="00B11386"/>
    <w:rsid w:val="00B16DD8"/>
    <w:rsid w:val="00B34451"/>
    <w:rsid w:val="00B37AC6"/>
    <w:rsid w:val="00B57FBB"/>
    <w:rsid w:val="00B66F88"/>
    <w:rsid w:val="00B77135"/>
    <w:rsid w:val="00BA643D"/>
    <w:rsid w:val="00BB4C65"/>
    <w:rsid w:val="00BD68F5"/>
    <w:rsid w:val="00BE3E36"/>
    <w:rsid w:val="00C35F5A"/>
    <w:rsid w:val="00C82A68"/>
    <w:rsid w:val="00CD1D83"/>
    <w:rsid w:val="00D57C9E"/>
    <w:rsid w:val="00D93EB5"/>
    <w:rsid w:val="00DC467C"/>
    <w:rsid w:val="00E309EB"/>
    <w:rsid w:val="00E445B9"/>
    <w:rsid w:val="00E513E0"/>
    <w:rsid w:val="00E81944"/>
    <w:rsid w:val="00EA7890"/>
    <w:rsid w:val="00EE3A24"/>
    <w:rsid w:val="00EF7453"/>
    <w:rsid w:val="00F00238"/>
    <w:rsid w:val="00F21E64"/>
    <w:rsid w:val="00F3138B"/>
    <w:rsid w:val="00F84EFC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sei.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F2BB-4864-4BFD-ADE0-043864C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customXml/itemProps3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</Words>
  <Characters>4338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Xavier Piednoir</cp:lastModifiedBy>
  <cp:revision>10</cp:revision>
  <dcterms:created xsi:type="dcterms:W3CDTF">2025-05-04T17:01:00Z</dcterms:created>
  <dcterms:modified xsi:type="dcterms:W3CDTF">2025-06-16T06:51:00Z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